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FD" w:rsidRPr="003A516B" w:rsidRDefault="00DB50FD" w:rsidP="00DB50FD">
      <w:pPr>
        <w:tabs>
          <w:tab w:val="left" w:pos="1134"/>
        </w:tabs>
        <w:ind w:firstLine="0"/>
        <w:jc w:val="center"/>
        <w:rPr>
          <w:rFonts w:cs="Tahoma"/>
          <w:b/>
          <w:bCs/>
          <w:kern w:val="1"/>
          <w:sz w:val="32"/>
          <w:szCs w:val="32"/>
        </w:rPr>
      </w:pPr>
      <w:r w:rsidRPr="003A516B">
        <w:rPr>
          <w:rFonts w:cs="Tahoma"/>
          <w:b/>
          <w:bCs/>
          <w:kern w:val="1"/>
          <w:sz w:val="32"/>
          <w:szCs w:val="32"/>
        </w:rPr>
        <w:t xml:space="preserve">Основные этапы разработки </w:t>
      </w:r>
      <w:bookmarkStart w:id="0" w:name="_GoBack"/>
      <w:bookmarkEnd w:id="0"/>
      <w:r w:rsidRPr="003A516B">
        <w:rPr>
          <w:rFonts w:cs="Tahoma"/>
          <w:b/>
          <w:bCs/>
          <w:kern w:val="1"/>
          <w:sz w:val="32"/>
          <w:szCs w:val="32"/>
        </w:rPr>
        <w:t>программы развития</w:t>
      </w:r>
    </w:p>
    <w:p w:rsidR="00DB50FD" w:rsidRPr="003A516B" w:rsidRDefault="00DB50FD" w:rsidP="00DB50FD">
      <w:pPr>
        <w:tabs>
          <w:tab w:val="left" w:pos="1134"/>
        </w:tabs>
        <w:spacing w:after="120"/>
        <w:ind w:firstLine="0"/>
        <w:jc w:val="center"/>
        <w:rPr>
          <w:rFonts w:cs="Tahoma"/>
          <w:b/>
          <w:kern w:val="1"/>
          <w:sz w:val="32"/>
          <w:szCs w:val="32"/>
        </w:rPr>
      </w:pPr>
      <w:r w:rsidRPr="003A516B">
        <w:rPr>
          <w:rFonts w:cs="Tahoma"/>
          <w:b/>
          <w:bCs/>
          <w:kern w:val="1"/>
          <w:sz w:val="32"/>
          <w:szCs w:val="32"/>
        </w:rPr>
        <w:t>и их ожидаемые результаты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4136"/>
        <w:gridCol w:w="4633"/>
      </w:tblGrid>
      <w:tr w:rsidR="00DB50FD" w:rsidRPr="003A516B" w:rsidTr="009C6609">
        <w:trPr>
          <w:trHeight w:val="451"/>
        </w:trPr>
        <w:tc>
          <w:tcPr>
            <w:tcW w:w="350" w:type="pct"/>
          </w:tcPr>
          <w:p w:rsidR="00DB50FD" w:rsidRPr="003A516B" w:rsidRDefault="00DB50FD" w:rsidP="009C6609">
            <w:pPr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b/>
                <w:kern w:val="1"/>
                <w:sz w:val="32"/>
                <w:szCs w:val="32"/>
              </w:rPr>
            </w:pPr>
            <w:r w:rsidRPr="003A516B">
              <w:rPr>
                <w:rFonts w:cs="Tahoma"/>
                <w:b/>
                <w:kern w:val="1"/>
                <w:sz w:val="32"/>
                <w:szCs w:val="32"/>
              </w:rPr>
              <w:t>№ п/п</w:t>
            </w:r>
          </w:p>
        </w:tc>
        <w:tc>
          <w:tcPr>
            <w:tcW w:w="2193" w:type="pct"/>
          </w:tcPr>
          <w:p w:rsidR="00DB50FD" w:rsidRPr="003A516B" w:rsidRDefault="00DB50FD" w:rsidP="009C6609">
            <w:pPr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b/>
                <w:kern w:val="1"/>
                <w:sz w:val="32"/>
                <w:szCs w:val="32"/>
              </w:rPr>
            </w:pPr>
            <w:r w:rsidRPr="003A516B">
              <w:rPr>
                <w:rFonts w:cs="Tahoma"/>
                <w:b/>
                <w:kern w:val="1"/>
                <w:sz w:val="32"/>
                <w:szCs w:val="32"/>
              </w:rPr>
              <w:t>Название этапа</w:t>
            </w:r>
          </w:p>
        </w:tc>
        <w:tc>
          <w:tcPr>
            <w:tcW w:w="2457" w:type="pct"/>
          </w:tcPr>
          <w:p w:rsidR="00DB50FD" w:rsidRPr="003A516B" w:rsidRDefault="00DB50FD" w:rsidP="009C6609">
            <w:pPr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b/>
                <w:kern w:val="1"/>
                <w:sz w:val="32"/>
                <w:szCs w:val="32"/>
              </w:rPr>
            </w:pPr>
            <w:r w:rsidRPr="003A516B">
              <w:rPr>
                <w:rFonts w:cs="Tahoma"/>
                <w:b/>
                <w:kern w:val="1"/>
                <w:sz w:val="32"/>
                <w:szCs w:val="32"/>
              </w:rPr>
              <w:t>Ожидаемые результаты</w:t>
            </w:r>
          </w:p>
        </w:tc>
      </w:tr>
      <w:tr w:rsidR="00DB50FD" w:rsidRPr="000313A7" w:rsidTr="009C6609">
        <w:trPr>
          <w:trHeight w:val="451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1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2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3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1</w:t>
            </w:r>
          </w:p>
        </w:tc>
        <w:tc>
          <w:tcPr>
            <w:tcW w:w="2193" w:type="pct"/>
          </w:tcPr>
          <w:p w:rsidR="00DB50FD" w:rsidRPr="000313A7" w:rsidRDefault="00DB50FD" w:rsidP="00DB50FD">
            <w:pPr>
              <w:numPr>
                <w:ilvl w:val="8"/>
                <w:numId w:val="1"/>
              </w:numPr>
              <w:tabs>
                <w:tab w:val="left" w:pos="0"/>
                <w:tab w:val="left" w:pos="1134"/>
              </w:tabs>
              <w:suppressAutoHyphens/>
              <w:snapToGrid w:val="0"/>
              <w:ind w:firstLine="0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Подготовительный этап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Готовность рабочей группы к проектированию программы развития</w:t>
            </w:r>
          </w:p>
        </w:tc>
      </w:tr>
      <w:tr w:rsidR="00DB50FD" w:rsidRPr="000313A7" w:rsidTr="009C6609">
        <w:trPr>
          <w:trHeight w:val="42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1.1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Принятие решения о необходимости и сроках подготовки программы развития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Принятие решения, его оформление и доведение до всего коллектива</w:t>
            </w:r>
          </w:p>
        </w:tc>
      </w:tr>
      <w:tr w:rsidR="00DB50FD" w:rsidRPr="000313A7" w:rsidTr="009C6609">
        <w:trPr>
          <w:trHeight w:val="845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1.2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Запуск процесса разработки программы развития образовательной организации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Создание структуры управления, распределение ролей и функциональных обязанностей, начало работы по управленческому обеспечению и сопровождению разработки программы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  <w:tcBorders>
              <w:bottom w:val="nil"/>
            </w:tcBorders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1.3</w:t>
            </w:r>
          </w:p>
        </w:tc>
        <w:tc>
          <w:tcPr>
            <w:tcW w:w="2193" w:type="pct"/>
            <w:tcBorders>
              <w:bottom w:val="nil"/>
            </w:tcBorders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Организация рабочей группы по созданию программы, их обучение и обеспечение</w:t>
            </w:r>
          </w:p>
        </w:tc>
        <w:tc>
          <w:tcPr>
            <w:tcW w:w="2457" w:type="pct"/>
            <w:tcBorders>
              <w:bottom w:val="nil"/>
            </w:tcBorders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Готовность рабочей группы к действиям</w:t>
            </w:r>
          </w:p>
        </w:tc>
      </w:tr>
      <w:tr w:rsidR="00DB50FD" w:rsidRPr="000313A7" w:rsidTr="009C6609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B50FD" w:rsidRPr="000313A7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jc w:val="right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Продолжение табл. 1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1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2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3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1.4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Подготовка необходимых ресурсов и условий для работы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Готовность условий и ресурсов</w:t>
            </w:r>
          </w:p>
        </w:tc>
      </w:tr>
      <w:tr w:rsidR="00DB50FD" w:rsidRPr="000313A7" w:rsidTr="009C6609">
        <w:trPr>
          <w:trHeight w:val="42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1.5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Поиск дополнительных ресурсов, дополнительная работа с кадрами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Полная готовность к работе</w:t>
            </w:r>
          </w:p>
        </w:tc>
      </w:tr>
      <w:tr w:rsidR="00DB50FD" w:rsidRPr="000313A7" w:rsidTr="009C6609">
        <w:trPr>
          <w:trHeight w:val="221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2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 xml:space="preserve">Основной этап 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Готовность первого варианта программы развития</w:t>
            </w:r>
          </w:p>
        </w:tc>
      </w:tr>
      <w:tr w:rsidR="00DB50FD" w:rsidRPr="000313A7" w:rsidTr="009C6609">
        <w:trPr>
          <w:trHeight w:val="44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2.1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Анализ состояния и прогноз тенденций изменения внешней среды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Данные анализа и прогноза. Готовность соответствующего фрагмента программы</w:t>
            </w:r>
          </w:p>
        </w:tc>
      </w:tr>
      <w:tr w:rsidR="00DB50FD" w:rsidRPr="000313A7" w:rsidTr="009C6609">
        <w:trPr>
          <w:trHeight w:val="42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2.2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Анализ состояния и прогноз тенденций изменения социального заказа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Данные анализа и прогноза. Готовность соответствующего фрагмента программы</w:t>
            </w:r>
          </w:p>
        </w:tc>
      </w:tr>
      <w:tr w:rsidR="00DB50FD" w:rsidRPr="000313A7" w:rsidTr="009C6609">
        <w:trPr>
          <w:trHeight w:val="628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lastRenderedPageBreak/>
              <w:t>2.3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Анализ состояния и прогноз тенденций изменения ресурсного потенциала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Данные анализа и прогноза. Готовность соответствующего фрагмента программы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2.4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Анализ и оценка достижений и конкурентных преимуществ образовательной организации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Данные анализа и оценки. Готовность соответствующего фрагмента программы</w:t>
            </w:r>
          </w:p>
        </w:tc>
      </w:tr>
      <w:tr w:rsidR="00DB50FD" w:rsidRPr="000313A7" w:rsidTr="009C6609">
        <w:trPr>
          <w:trHeight w:val="42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2.5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spacing w:val="-6"/>
                <w:kern w:val="32"/>
                <w:sz w:val="32"/>
                <w:szCs w:val="32"/>
              </w:rPr>
            </w:pPr>
            <w:r w:rsidRPr="000313A7">
              <w:rPr>
                <w:rFonts w:cs="Tahoma"/>
                <w:spacing w:val="-6"/>
                <w:kern w:val="32"/>
                <w:sz w:val="32"/>
                <w:szCs w:val="32"/>
              </w:rPr>
              <w:t>Анализ и оценка инновационной среды и потенциала образовательной организации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Данные анализа и оценки. Готовность соответствующего фрагмента программы</w:t>
            </w:r>
          </w:p>
        </w:tc>
      </w:tr>
      <w:tr w:rsidR="00DB50FD" w:rsidRPr="000313A7" w:rsidTr="009C6609">
        <w:trPr>
          <w:trHeight w:val="250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2.6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Прогноз восприятия предполагаемых нововведений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Учет результатов прогноза</w:t>
            </w:r>
          </w:p>
        </w:tc>
      </w:tr>
      <w:tr w:rsidR="00DB50FD" w:rsidRPr="000313A7" w:rsidTr="009C6609">
        <w:trPr>
          <w:trHeight w:val="221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2.7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Проблемный анализ состояния дел в образовательной организации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 xml:space="preserve">Структурированный перечень основных проблем образовательной организации </w:t>
            </w:r>
          </w:p>
        </w:tc>
      </w:tr>
      <w:tr w:rsidR="00DB50FD" w:rsidRPr="000313A7" w:rsidTr="009C6609">
        <w:trPr>
          <w:trHeight w:val="634"/>
        </w:trPr>
        <w:tc>
          <w:tcPr>
            <w:tcW w:w="350" w:type="pct"/>
            <w:tcBorders>
              <w:bottom w:val="nil"/>
            </w:tcBorders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2.8</w:t>
            </w:r>
          </w:p>
        </w:tc>
        <w:tc>
          <w:tcPr>
            <w:tcW w:w="2193" w:type="pct"/>
            <w:tcBorders>
              <w:bottom w:val="nil"/>
            </w:tcBorders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Разработка и формулирование концепции (концептуального проекта) желаемого будущего состояния образовательной организации</w:t>
            </w:r>
          </w:p>
        </w:tc>
        <w:tc>
          <w:tcPr>
            <w:tcW w:w="2457" w:type="pct"/>
            <w:tcBorders>
              <w:bottom w:val="nil"/>
            </w:tcBorders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Концепция (концептуальный проект) нового состояния образовательной организации</w:t>
            </w:r>
          </w:p>
        </w:tc>
      </w:tr>
      <w:tr w:rsidR="00DB50FD" w:rsidRPr="000313A7" w:rsidTr="009C6609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B50FD" w:rsidRPr="000313A7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jc w:val="right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Окончание табл. 1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BC5A0C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i/>
                <w:kern w:val="1"/>
                <w:sz w:val="32"/>
                <w:szCs w:val="32"/>
              </w:rPr>
            </w:pPr>
            <w:r w:rsidRPr="00BC5A0C">
              <w:rPr>
                <w:rFonts w:cs="Tahoma"/>
                <w:i/>
                <w:kern w:val="1"/>
                <w:sz w:val="32"/>
                <w:szCs w:val="32"/>
              </w:rPr>
              <w:t>1</w:t>
            </w:r>
          </w:p>
        </w:tc>
        <w:tc>
          <w:tcPr>
            <w:tcW w:w="2193" w:type="pct"/>
          </w:tcPr>
          <w:p w:rsidR="00DB50FD" w:rsidRPr="00BC5A0C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i/>
                <w:kern w:val="1"/>
                <w:sz w:val="32"/>
                <w:szCs w:val="32"/>
              </w:rPr>
            </w:pPr>
            <w:r w:rsidRPr="00BC5A0C">
              <w:rPr>
                <w:rFonts w:cs="Tahoma"/>
                <w:i/>
                <w:kern w:val="1"/>
                <w:sz w:val="32"/>
                <w:szCs w:val="32"/>
              </w:rPr>
              <w:t>2</w:t>
            </w:r>
          </w:p>
        </w:tc>
        <w:tc>
          <w:tcPr>
            <w:tcW w:w="2457" w:type="pct"/>
          </w:tcPr>
          <w:p w:rsidR="00DB50FD" w:rsidRPr="00BC5A0C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jc w:val="center"/>
              <w:rPr>
                <w:rFonts w:cs="Tahoma"/>
                <w:i/>
                <w:kern w:val="1"/>
                <w:sz w:val="32"/>
                <w:szCs w:val="32"/>
              </w:rPr>
            </w:pPr>
            <w:r w:rsidRPr="00BC5A0C">
              <w:rPr>
                <w:rFonts w:cs="Tahoma"/>
                <w:i/>
                <w:kern w:val="1"/>
                <w:sz w:val="32"/>
                <w:szCs w:val="32"/>
              </w:rPr>
              <w:t>3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2.9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Разработка стратегии перехода к новому состоянию образовательной организации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keepNext/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Стратегия, основные направления, этапы и задачи перехода к новой образовательной организации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2.10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Конкретизация целей ближайшего этапа развития образовательной организации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Формулировки целей ближайшего этапа развития образовательной организации</w:t>
            </w:r>
          </w:p>
        </w:tc>
      </w:tr>
      <w:tr w:rsidR="00DB50FD" w:rsidRPr="000313A7" w:rsidTr="009C6609">
        <w:trPr>
          <w:trHeight w:val="42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2.11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Разработка плана действий по реализации программы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 xml:space="preserve">Конкретный план действий 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2.12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 xml:space="preserve">«Сборка» и первичное редактирование полученного </w:t>
            </w:r>
            <w:r w:rsidRPr="000313A7">
              <w:rPr>
                <w:rFonts w:cs="Tahoma"/>
                <w:kern w:val="1"/>
                <w:sz w:val="32"/>
                <w:szCs w:val="32"/>
              </w:rPr>
              <w:lastRenderedPageBreak/>
              <w:t>текста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lastRenderedPageBreak/>
              <w:t>Готовность первого варианта текста программы развития</w:t>
            </w:r>
          </w:p>
        </w:tc>
      </w:tr>
      <w:tr w:rsidR="00DB50FD" w:rsidRPr="000313A7" w:rsidTr="009C6609">
        <w:trPr>
          <w:trHeight w:val="42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lastRenderedPageBreak/>
              <w:t>3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i/>
                <w:kern w:val="1"/>
                <w:sz w:val="32"/>
                <w:szCs w:val="32"/>
              </w:rPr>
            </w:pPr>
            <w:r w:rsidRPr="000313A7">
              <w:rPr>
                <w:rFonts w:cs="Tahoma"/>
                <w:i/>
                <w:kern w:val="1"/>
                <w:sz w:val="32"/>
                <w:szCs w:val="32"/>
              </w:rPr>
              <w:t>Этап экспертизы, подведения итогов и принятия решения об исполнении программы развития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Принятие решения о переходе к выполнению программы развития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3.1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Оценка программы развития в образовательной организации, внесение корректив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Внесение поправок в текст программы развития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3.2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Передача программы на независимую внешнюю экспертизу, оценка программы экспертами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Экспертное заключение. Внесение поправок в текст программы развития на основе экспертных заключений</w:t>
            </w:r>
          </w:p>
        </w:tc>
      </w:tr>
      <w:tr w:rsidR="00DB50FD" w:rsidRPr="000313A7" w:rsidTr="009C6609">
        <w:trPr>
          <w:trHeight w:val="432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3.3</w:t>
            </w:r>
          </w:p>
        </w:tc>
        <w:tc>
          <w:tcPr>
            <w:tcW w:w="2193" w:type="pct"/>
          </w:tcPr>
          <w:p w:rsidR="00DB50FD" w:rsidRPr="00BC5A0C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spacing w:val="-6"/>
                <w:kern w:val="32"/>
                <w:sz w:val="32"/>
                <w:szCs w:val="32"/>
              </w:rPr>
            </w:pPr>
            <w:r w:rsidRPr="00BC5A0C">
              <w:rPr>
                <w:rFonts w:cs="Tahoma"/>
                <w:spacing w:val="-6"/>
                <w:kern w:val="32"/>
                <w:sz w:val="32"/>
                <w:szCs w:val="32"/>
              </w:rPr>
              <w:t>Организация обсуждения и утверждения программы в образовательной организации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Принятие программы развития коллективом</w:t>
            </w:r>
          </w:p>
        </w:tc>
      </w:tr>
      <w:tr w:rsidR="00DB50FD" w:rsidRPr="000313A7" w:rsidTr="009C6609">
        <w:trPr>
          <w:trHeight w:val="864"/>
        </w:trPr>
        <w:tc>
          <w:tcPr>
            <w:tcW w:w="350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3.4</w:t>
            </w:r>
          </w:p>
        </w:tc>
        <w:tc>
          <w:tcPr>
            <w:tcW w:w="2193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>Передача программы на официальную экспертизу. Представление и защита программы. Принятие решения по программе</w:t>
            </w:r>
          </w:p>
        </w:tc>
        <w:tc>
          <w:tcPr>
            <w:tcW w:w="2457" w:type="pct"/>
          </w:tcPr>
          <w:p w:rsidR="00DB50FD" w:rsidRPr="000313A7" w:rsidRDefault="00DB50FD" w:rsidP="009C6609">
            <w:pPr>
              <w:tabs>
                <w:tab w:val="left" w:pos="1134"/>
              </w:tabs>
              <w:snapToGrid w:val="0"/>
              <w:ind w:firstLine="0"/>
              <w:rPr>
                <w:rFonts w:cs="Tahoma"/>
                <w:kern w:val="1"/>
                <w:sz w:val="32"/>
                <w:szCs w:val="32"/>
              </w:rPr>
            </w:pPr>
            <w:r w:rsidRPr="000313A7">
              <w:rPr>
                <w:rFonts w:cs="Tahoma"/>
                <w:kern w:val="1"/>
                <w:sz w:val="32"/>
                <w:szCs w:val="32"/>
              </w:rPr>
              <w:t xml:space="preserve">Принятие окончательного решения о программе развития и ее финансировании. При негативной оценке программы </w:t>
            </w:r>
            <w:r>
              <w:rPr>
                <w:rFonts w:cs="Tahoma"/>
                <w:kern w:val="1"/>
                <w:sz w:val="32"/>
                <w:szCs w:val="32"/>
              </w:rPr>
              <w:t xml:space="preserve">– </w:t>
            </w:r>
            <w:r w:rsidRPr="000313A7">
              <w:rPr>
                <w:rFonts w:cs="Tahoma"/>
                <w:kern w:val="1"/>
                <w:sz w:val="32"/>
                <w:szCs w:val="32"/>
              </w:rPr>
              <w:t xml:space="preserve"> возврат ее на доработку</w:t>
            </w:r>
          </w:p>
        </w:tc>
      </w:tr>
    </w:tbl>
    <w:p w:rsidR="00DB50FD" w:rsidRPr="004500E4" w:rsidRDefault="00DB50FD" w:rsidP="00DB50FD">
      <w:pPr>
        <w:tabs>
          <w:tab w:val="left" w:pos="1134"/>
        </w:tabs>
        <w:ind w:firstLine="709"/>
        <w:rPr>
          <w:rFonts w:cs="Tahoma"/>
          <w:kern w:val="1"/>
          <w:sz w:val="32"/>
          <w:szCs w:val="32"/>
        </w:rPr>
      </w:pPr>
    </w:p>
    <w:p w:rsidR="00A8348B" w:rsidRDefault="00A8348B"/>
    <w:sectPr w:rsidR="00A8348B" w:rsidSect="00C81D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FD"/>
    <w:rsid w:val="003A516B"/>
    <w:rsid w:val="00A8348B"/>
    <w:rsid w:val="00C81D22"/>
    <w:rsid w:val="00D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68B1228-00A5-43E1-A642-22FAED8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FD"/>
    <w:pPr>
      <w:ind w:firstLine="35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3019</Characters>
  <Application>Microsoft Office Word</Application>
  <DocSecurity>0</DocSecurity>
  <Lines>25</Lines>
  <Paragraphs>7</Paragraphs>
  <ScaleCrop>false</ScaleCrop>
  <Company>gghh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gghh</dc:creator>
  <cp:keywords/>
  <dc:description/>
  <cp:lastModifiedBy>Владимир Кулишов</cp:lastModifiedBy>
  <cp:revision>3</cp:revision>
  <dcterms:created xsi:type="dcterms:W3CDTF">2016-03-23T21:04:00Z</dcterms:created>
  <dcterms:modified xsi:type="dcterms:W3CDTF">2020-12-24T17:27:00Z</dcterms:modified>
</cp:coreProperties>
</file>