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1D" w:rsidRPr="00E11A1D" w:rsidRDefault="00E11A1D" w:rsidP="00E11A1D">
      <w:r w:rsidRPr="00E11A1D">
        <w:rPr>
          <w:b/>
          <w:bCs/>
        </w:rPr>
        <w:t>Паспорт образовательного проекта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1. Название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2. Тип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3. Постановка проблемы, описание проблемной ситуации.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4. Определение объекта и предмета проектирования.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5. Цель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6. Задачи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7. Обоснование проекта: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– нормативно-правовое;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– финансо</w:t>
      </w:r>
      <w:r w:rsidRPr="00E11A1D">
        <w:t>вое;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– организационное.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8. Система мероприятий в рамках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9. Сроки реализации. Жизненный цикл проекта.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10. Ожидаемые результаты: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>– позитивные последствия (вытекают из целей и задач проекта);</w:t>
      </w:r>
    </w:p>
    <w:p w:rsidR="00000000" w:rsidRPr="00E11A1D" w:rsidRDefault="00E11A1D" w:rsidP="00E11A1D">
      <w:pPr>
        <w:numPr>
          <w:ilvl w:val="0"/>
          <w:numId w:val="1"/>
        </w:numPr>
      </w:pPr>
      <w:r w:rsidRPr="00E11A1D">
        <w:t xml:space="preserve">– негативные последствия и превентивные мероприятия </w:t>
      </w:r>
      <w:r w:rsidRPr="00E11A1D">
        <w:t>по их недопущению (риски).</w:t>
      </w:r>
    </w:p>
    <w:p w:rsidR="00B5278A" w:rsidRDefault="00B5278A"/>
    <w:sectPr w:rsidR="00B5278A" w:rsidSect="00B5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263"/>
    <w:multiLevelType w:val="hybridMultilevel"/>
    <w:tmpl w:val="970ADAD2"/>
    <w:lvl w:ilvl="0" w:tplc="54DCE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B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2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06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savePreviewPicture/>
  <w:compat/>
  <w:rsids>
    <w:rsidRoot w:val="00E11A1D"/>
    <w:rsid w:val="00B5278A"/>
    <w:rsid w:val="00E1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slider999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2020-10-06T10:16:00Z</dcterms:created>
  <dcterms:modified xsi:type="dcterms:W3CDTF">2020-10-06T10:17:00Z</dcterms:modified>
</cp:coreProperties>
</file>